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резолютивная часть постановления объявлена </w:t>
      </w: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мотивированное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составлено </w:t>
      </w:r>
      <w:r>
        <w:rPr>
          <w:rStyle w:val="cat-Dategrp-6rplc-3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омного округа-Югры </w:t>
      </w:r>
      <w:r>
        <w:rPr>
          <w:rStyle w:val="cat-FIOgrp-1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законного представителя –председателя СНТСН «Водоканал» </w:t>
      </w:r>
      <w:r>
        <w:rPr>
          <w:rStyle w:val="cat-FIOgrp-19rplc-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8"/>
          <w:szCs w:val="28"/>
        </w:rPr>
        <w:t>565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  <w:r>
        <w:rPr>
          <w:rFonts w:ascii="Times New Roman" w:eastAsia="Times New Roman" w:hAnsi="Times New Roman" w:cs="Times New Roman"/>
          <w:sz w:val="28"/>
          <w:szCs w:val="28"/>
        </w:rPr>
        <w:t>, возбужденное по ч.1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 в отношении юридического лица </w:t>
      </w:r>
      <w:r>
        <w:rPr>
          <w:rStyle w:val="cat-OrganizationNamegrp-22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СНТСН «Водоканал»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Style w:val="cat-PhoneNumbergrp-26rplc-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ОГРН: 1048600008863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юридический адрес: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>о привл</w:t>
      </w:r>
      <w:r>
        <w:rPr>
          <w:rFonts w:ascii="Times New Roman" w:eastAsia="Times New Roman" w:hAnsi="Times New Roman" w:cs="Times New Roman"/>
          <w:sz w:val="28"/>
          <w:szCs w:val="28"/>
        </w:rPr>
        <w:t>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>СНТСН «Водоканал»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месту регистрации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24 </w:t>
      </w:r>
      <w:r>
        <w:rPr>
          <w:rStyle w:val="cat-Timegrp-25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выполнило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 пунктов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№№1-3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 №</w:t>
      </w:r>
      <w:r>
        <w:rPr>
          <w:rFonts w:ascii="Times New Roman" w:eastAsia="Times New Roman" w:hAnsi="Times New Roman" w:cs="Times New Roman"/>
          <w:sz w:val="28"/>
          <w:szCs w:val="28"/>
        </w:rPr>
        <w:t>2404/015-86/86-В/ПВП, выданного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должностным лицом ГУ МЧС России по ХМАО-Югре,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именно,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обеспечило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тупиковые проезды переулков от участков 19-1,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7rplc-1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8rplc-1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9rplc-1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0rplc-1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20-37,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94-111,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1rplc-1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2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33rplc-2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площадками для разворота пожарной техники не менее, чем 15х15 метров (п.1 предписания)</w:t>
      </w:r>
      <w:r>
        <w:rPr>
          <w:rFonts w:ascii="Times New Roman" w:eastAsia="Times New Roman" w:hAnsi="Times New Roman" w:cs="Times New Roman"/>
          <w:sz w:val="28"/>
          <w:szCs w:val="28"/>
        </w:rPr>
        <w:t>; не обеспечило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протяженность тупиковых проездов от участков 19-1, </w:t>
      </w:r>
      <w:r>
        <w:rPr>
          <w:rStyle w:val="cat-PhoneNumbergrp-27rplc-2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honeNumbergrp-28rplc-2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honeNumbergrp-29rplc-2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honeNumbergrp-30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20-37, 94-111, </w:t>
      </w:r>
      <w:r>
        <w:rPr>
          <w:rStyle w:val="cat-PhoneNumbergrp-31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honeNumbergrp-32rplc-2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honeNumbergrp-33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менее 150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(п.2 предписания);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обеспечило </w:t>
      </w:r>
      <w:r>
        <w:rPr>
          <w:rStyle w:val="cat-Addressgrp-3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«Водоканал» двумя источниками наружного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противопожарного водоснабжения (п.3 предписания),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чем </w:t>
      </w:r>
      <w:r>
        <w:rPr>
          <w:rStyle w:val="cat-Dategrp-9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совершило правонарушение, предусмотренное ч.1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Законный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>СНТСН «Водоканал»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0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пояснил, что юридическое лицо вину в совершении правонарушения не оспаривает,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ввиду того, что приступил к исполнению обязанностей председателя СНТСН только </w:t>
      </w:r>
      <w:r>
        <w:rPr>
          <w:rStyle w:val="cat-Dategrp-11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Dategrp-10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проведены работы по расчистке и планировке земельного участка, предназначенного под противопожарный водоём, вырыт котлован, ведутся работы по закупке материалов для постройки водоёма,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</w:t>
      </w:r>
      <w:r>
        <w:rPr>
          <w:rFonts w:ascii="Times New Roman" w:eastAsia="Times New Roman" w:hAnsi="Times New Roman" w:cs="Times New Roman"/>
          <w:sz w:val="28"/>
          <w:szCs w:val="28"/>
        </w:rPr>
        <w:t>заменить наказание в виде штрафа предупреждением.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</w:t>
      </w:r>
      <w:r>
        <w:rPr>
          <w:rFonts w:ascii="Times New Roman" w:eastAsia="Times New Roman" w:hAnsi="Times New Roman" w:cs="Times New Roman"/>
          <w:sz w:val="28"/>
          <w:szCs w:val="28"/>
        </w:rPr>
        <w:t>шав законного представителя СНТ</w:t>
      </w:r>
      <w:r>
        <w:rPr>
          <w:rFonts w:ascii="Times New Roman" w:eastAsia="Times New Roman" w:hAnsi="Times New Roman" w:cs="Times New Roman"/>
          <w:sz w:val="28"/>
          <w:szCs w:val="28"/>
        </w:rPr>
        <w:t>СН «Водоканал», 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12 ст.19.5 КоАП РФ предусмотрена административная ответственность за н</w:t>
      </w:r>
      <w:r>
        <w:rPr>
          <w:rFonts w:ascii="Times New Roman" w:eastAsia="Times New Roman" w:hAnsi="Times New Roman" w:cs="Times New Roman"/>
          <w:sz w:val="28"/>
          <w:szCs w:val="28"/>
        </w:rPr>
        <w:t>евыполнение в установленный срок законного предписания органа, осуществляющего федеральный государственный пожарный надзор.</w:t>
      </w:r>
    </w:p>
    <w:p>
      <w:pPr>
        <w:spacing w:before="0" w:after="0" w:line="259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2 статьи 2.1 КоАП РФ определено, что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>
      <w:pPr>
        <w:spacing w:before="0" w:after="0" w:line="259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СНТСН «Водоканал» в совершении административного правонарушения подтверждается протоколом об административном правонарушении №2504-86-015-00056/6/1 от </w:t>
      </w:r>
      <w:r>
        <w:rPr>
          <w:rStyle w:val="cat-Dategrp-12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котором изложены событие и обстоятельства административного правонарушения; копией предписания №2404/015-86/86-В/ПВП от </w:t>
      </w:r>
      <w:r>
        <w:rPr>
          <w:rStyle w:val="cat-Dategrp-8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ответом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едседателя </w:t>
      </w:r>
      <w:r>
        <w:rPr>
          <w:rStyle w:val="cat-OrganizationNamegrp-23rplc-3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предписание №2404/015-86/86-В/ПВП от </w:t>
      </w:r>
      <w:r>
        <w:rPr>
          <w:rStyle w:val="cat-Dategrp-8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акта выездной проверки от </w:t>
      </w:r>
      <w:r>
        <w:rPr>
          <w:rStyle w:val="cat-Dategrp-8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предписания №2502/015-86/29-В/ПВП от </w:t>
      </w:r>
      <w:r>
        <w:rPr>
          <w:rStyle w:val="cat-Dategrp-13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протокола осмотра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3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копией акта выездной проверки №2502/015-86/29-В/АВП от </w:t>
      </w:r>
      <w:r>
        <w:rPr>
          <w:rStyle w:val="cat-Dategrp-13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решения о проведении выездной проверки от </w:t>
      </w:r>
      <w:r>
        <w:rPr>
          <w:rStyle w:val="cat-Dategrp-14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ЕГРЮЛ в отношении </w:t>
      </w:r>
      <w:r>
        <w:rPr>
          <w:rStyle w:val="cat-OrganizationNamegrp-23rplc-4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59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представленных материалов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надзорной деятельности и профилактической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Addressgrp-0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надзорной деятельности и профилактической работы Главного управления МЧС России по </w:t>
      </w:r>
      <w:r>
        <w:rPr>
          <w:rStyle w:val="cat-Addressgrp-5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СНТСН «Водоканал» выдано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предписание № </w:t>
      </w:r>
      <w:r>
        <w:rPr>
          <w:rFonts w:ascii="Times New Roman" w:eastAsia="Times New Roman" w:hAnsi="Times New Roman" w:cs="Times New Roman"/>
          <w:sz w:val="28"/>
          <w:szCs w:val="28"/>
        </w:rPr>
        <w:t>2404/015-86/86-В/АВП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устранению нарушений требований пожарной безопасности, установлен срок для исполнения предписания до </w:t>
      </w:r>
      <w:r>
        <w:rPr>
          <w:rStyle w:val="cat-Dategrp-7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Копия предписания получена председателем </w:t>
      </w:r>
      <w:r>
        <w:rPr>
          <w:rStyle w:val="cat-OrganizationNamegrp-23rplc-4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59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Предписание содержит требования контролирующего органа об устранении выявленных нарушений требований пожарной безопасности, с указанием конкретных пунктов Федерального закона от </w:t>
      </w:r>
      <w:r>
        <w:rPr>
          <w:rStyle w:val="cat-Dategrp-15rplc-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123-ФЗ «Технический регламент о требованиях пожарной безопасности», СП </w:t>
      </w:r>
      <w:r>
        <w:rPr>
          <w:rFonts w:ascii="Times New Roman" w:eastAsia="Times New Roman" w:hAnsi="Times New Roman" w:cs="Times New Roman"/>
          <w:sz w:val="28"/>
          <w:szCs w:val="28"/>
        </w:rPr>
        <w:t>4.13130.2013 «Система противопожарной защиты. Ограничение распространения пожара на объектах защиты. Требования к объемно-планировочным и конструктивным решениям»,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предписание отвечает критерию исполнимости и не оспорено </w:t>
      </w:r>
      <w:r>
        <w:rPr>
          <w:rStyle w:val="cat-OrganizationNamegrp-23rplc-5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</w:t>
      </w:r>
      <w:r>
        <w:rPr>
          <w:rStyle w:val="cat-Dategrp-13rplc-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внеплановой выездной проверки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предписания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выявлено невыполнение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>СНТ</w:t>
      </w:r>
      <w:r>
        <w:rPr>
          <w:rFonts w:ascii="Times New Roman" w:eastAsia="Times New Roman" w:hAnsi="Times New Roman" w:cs="Times New Roman"/>
          <w:sz w:val="28"/>
          <w:szCs w:val="28"/>
        </w:rPr>
        <w:t>СН «Водоканал»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предписания от </w:t>
      </w:r>
      <w:r>
        <w:rPr>
          <w:rStyle w:val="cat-Dategrp-16rplc-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№2404/015-86/86-В/ПВП </w:t>
      </w:r>
      <w:r>
        <w:rPr>
          <w:rFonts w:ascii="Times New Roman" w:eastAsia="Times New Roman" w:hAnsi="Times New Roman" w:cs="Times New Roman"/>
          <w:sz w:val="28"/>
          <w:szCs w:val="28"/>
        </w:rPr>
        <w:t>в пунктах №№</w:t>
      </w:r>
      <w:r>
        <w:rPr>
          <w:rFonts w:ascii="Times New Roman" w:eastAsia="Times New Roman" w:hAnsi="Times New Roman" w:cs="Times New Roman"/>
          <w:sz w:val="28"/>
          <w:szCs w:val="28"/>
        </w:rPr>
        <w:t>1-3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выразившихся в </w:t>
      </w:r>
      <w:r>
        <w:rPr>
          <w:rFonts w:ascii="Times New Roman" w:eastAsia="Times New Roman" w:hAnsi="Times New Roman" w:cs="Times New Roman"/>
          <w:sz w:val="28"/>
          <w:szCs w:val="28"/>
        </w:rPr>
        <w:t>неустранении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нарушений требований пожарной безопасности: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обеспечении тупиковых проездов переулков от участков 19-1,</w:t>
      </w:r>
      <w:r>
        <w:rPr>
          <w:rStyle w:val="cat-PhoneNumbergrp-27rplc-5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PhoneNumbergrp-28rplc-5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PhoneNumbergrp-29rplc-5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PhoneNumbergrp-30rplc-5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20-37,94-111,</w:t>
      </w:r>
      <w:r>
        <w:rPr>
          <w:rStyle w:val="cat-PhoneNumbergrp-31rplc-5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PhoneNumbergrp-32rplc-5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Style w:val="cat-PhoneNumbergrp-33rplc-5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площадками для разворота пожарной техники не менее, чем 15х15 метров (п.1 предписания)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обеспечении протяженности тупиковых проездов от участков 19-1, </w:t>
      </w:r>
      <w:r>
        <w:rPr>
          <w:rStyle w:val="cat-PhoneNumbergrp-27rplc-6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honeNumbergrp-28rplc-6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honeNumbergrp-29rplc-6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honeNumbergrp-30rplc-6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20-37, 94-111, </w:t>
      </w:r>
      <w:r>
        <w:rPr>
          <w:rStyle w:val="cat-PhoneNumbergrp-31rplc-6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honeNumbergrp-32rplc-6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honeNumbergrp-33rplc-6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менее 150 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обеспечении </w:t>
      </w:r>
      <w:r>
        <w:rPr>
          <w:rStyle w:val="cat-Addressgrp-3rplc-6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«Водоканал» двумя источниками наружного противопожарного водоснабжения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59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>того, что требования пунктов №№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1-3 предписания от </w:t>
      </w:r>
      <w:r>
        <w:rPr>
          <w:rStyle w:val="cat-Dategrp-16rplc-6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№2404/015-86/86-В/ПВП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СНТСН «Водоканал» мировой судья квалифицирует по ч.12 ст.19.5 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законного предписания органа, осуществляющего федеральный государственный пожарный надзор.</w:t>
      </w:r>
    </w:p>
    <w:p>
      <w:pPr>
        <w:spacing w:before="0" w:after="0" w:line="259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Статья 2.9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возможность освобождения лица, совершившего административное правонарушение, от административной ответственности при малозначительности совершенного административного правонарушения.</w:t>
      </w:r>
    </w:p>
    <w:p>
      <w:pPr>
        <w:spacing w:before="0" w:after="0" w:line="259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постановлению Пленума Верховного Суда Российской Федерации от </w:t>
      </w:r>
      <w:r>
        <w:rPr>
          <w:rStyle w:val="cat-Dategrp-17rplc-6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малозначительным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 w:line="259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малозначительности деяния должна соотноситься с характером и степенью общественной опасности, причинением вреда либо угрозой причинения вреда личности, обществу или государству.</w:t>
      </w:r>
    </w:p>
    <w:p>
      <w:pPr>
        <w:spacing w:before="0" w:after="0" w:line="259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19.5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определяет ответственность должностных лиц и юридических лиц за невыполнение в срок законного предписания федерального государственного пожарного надзора.</w:t>
      </w:r>
    </w:p>
    <w:p>
      <w:pPr>
        <w:spacing w:before="0" w:after="0" w:line="259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Должностные лица, юридические лица обязаны неукоснительно исполнять возложенные на них законом обязанности, связанные со сферой их деятельности, выполнять адресованные им предписания органов государственного надзора и контроля.</w:t>
      </w:r>
    </w:p>
    <w:p>
      <w:pPr>
        <w:spacing w:before="0" w:after="0" w:line="259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Объективная сторона правонарушений, предусмотренных данной статьей, состоит в невыполнении в установленный срок законного предписания федерального органа исполнительной власти, осуществляющего государственный пожарный надзор. Поскольку наступление вредных последствий не является квалифицирующим признаком объективной стороны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ответственность за которое установлена ч.12 ст.19.5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указанных последствий не свидетельствует о малозначительности совершенного правонарушения. Существенная угроза охраняемым общественным отношениям заключается в данном случае не в наступлении каких-либо материальных последствий правонарушения, а в невыполнении в установленный срок законного предписания федерального органа исполнительной власти, осуществляющего государственный пожарный надзор.</w:t>
      </w:r>
    </w:p>
    <w:p>
      <w:pPr>
        <w:spacing w:before="0" w:after="0" w:line="259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 указанного правонарушения - формальный, наступления вредных последствий не требуется.</w:t>
      </w:r>
    </w:p>
    <w:p>
      <w:pPr>
        <w:spacing w:before="0" w:after="0" w:line="259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оценки фактических обстоятельств дела, а также характера противоправного деяния,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юридическим лицом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для признания его малозначительным и освобождения от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СНТСН «Водоканал»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правонарушение, посягающее </w:t>
      </w:r>
      <w:r>
        <w:rPr>
          <w:rFonts w:ascii="Times New Roman" w:eastAsia="Times New Roman" w:hAnsi="Times New Roman" w:cs="Times New Roman"/>
          <w:sz w:val="28"/>
          <w:szCs w:val="28"/>
        </w:rPr>
        <w:t>на порядок управления. Обстоятельствами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тративную ответственность, являю</w:t>
      </w:r>
      <w:r>
        <w:rPr>
          <w:rFonts w:ascii="Times New Roman" w:eastAsia="Times New Roman" w:hAnsi="Times New Roman" w:cs="Times New Roman"/>
          <w:sz w:val="28"/>
          <w:szCs w:val="28"/>
        </w:rPr>
        <w:t>тся признание вины в совер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принятие мер для устранения допущенных 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отягчающих административную ответственность,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суд считает возможным назначение </w:t>
      </w:r>
      <w:r>
        <w:rPr>
          <w:rStyle w:val="cat-OrganizationNamegrp-23rplc-7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штрафа в минимальном размере,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>ч.2 ст.19.5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ст.4.1.1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раздела II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предусмотренных </w:t>
      </w:r>
      <w:hyperlink r:id="rId4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</w:t>
      </w:r>
      <w:r>
        <w:rPr>
          <w:rFonts w:ascii="Times New Roman" w:eastAsia="Times New Roman" w:hAnsi="Times New Roman" w:cs="Times New Roman"/>
          <w:sz w:val="28"/>
          <w:szCs w:val="28"/>
        </w:rPr>
        <w:t>техногенного характера, а также при отсутствии имущественного ущерба (ч.2 ст.3.4 КоАП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впервые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привлекается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ответственности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правонарушение, которое не повлекло причинение имущественного ущерба, вреда жизни и здоровью людей, а также иным объектам, указанным в </w:t>
      </w:r>
      <w:hyperlink r:id="rId4" w:anchor="/document/12125267/entry/34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ч.2 ст.3.4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не создавало угрозу причинения такого вреда, учитывая признание вины, судья считает возможным применить к </w:t>
      </w:r>
      <w:r>
        <w:rPr>
          <w:rFonts w:ascii="Times New Roman" w:eastAsia="Times New Roman" w:hAnsi="Times New Roman" w:cs="Times New Roman"/>
          <w:sz w:val="28"/>
          <w:szCs w:val="28"/>
        </w:rPr>
        <w:t>СНТСН «Водоканал»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41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ст.4.1.1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заменить административное наказание в виде административного штрафа на предупреждение.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4rplc-7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ст.19.5 КоАП РФ,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мирового судью, в течение 10 дней со дня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Style w:val="cat-FIOgrp-21rplc-7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21rplc-7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31150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Dategrp-6rplc-3">
    <w:name w:val="cat-Date grp-6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8rplc-5">
    <w:name w:val="cat-FIO grp-18 rplc-5"/>
    <w:basedOn w:val="DefaultParagraphFont"/>
  </w:style>
  <w:style w:type="character" w:customStyle="1" w:styleId="cat-FIOgrp-19rplc-6">
    <w:name w:val="cat-FIO grp-19 rplc-6"/>
    <w:basedOn w:val="DefaultParagraphFont"/>
  </w:style>
  <w:style w:type="character" w:customStyle="1" w:styleId="cat-OrganizationNamegrp-22rplc-7">
    <w:name w:val="cat-OrganizationName grp-22 rplc-7"/>
    <w:basedOn w:val="DefaultParagraphFont"/>
  </w:style>
  <w:style w:type="character" w:customStyle="1" w:styleId="cat-PhoneNumbergrp-26rplc-8">
    <w:name w:val="cat-PhoneNumber grp-26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Timegrp-25rplc-11">
    <w:name w:val="cat-Time grp-25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PhoneNumbergrp-27rplc-14">
    <w:name w:val="cat-PhoneNumber grp-27 rplc-14"/>
    <w:basedOn w:val="DefaultParagraphFont"/>
  </w:style>
  <w:style w:type="character" w:customStyle="1" w:styleId="cat-PhoneNumbergrp-28rplc-15">
    <w:name w:val="cat-PhoneNumber grp-28 rplc-15"/>
    <w:basedOn w:val="DefaultParagraphFont"/>
  </w:style>
  <w:style w:type="character" w:customStyle="1" w:styleId="cat-PhoneNumbergrp-29rplc-16">
    <w:name w:val="cat-PhoneNumber grp-29 rplc-16"/>
    <w:basedOn w:val="DefaultParagraphFont"/>
  </w:style>
  <w:style w:type="character" w:customStyle="1" w:styleId="cat-PhoneNumbergrp-30rplc-17">
    <w:name w:val="cat-PhoneNumber grp-30 rplc-17"/>
    <w:basedOn w:val="DefaultParagraphFont"/>
  </w:style>
  <w:style w:type="character" w:customStyle="1" w:styleId="cat-PhoneNumbergrp-31rplc-18">
    <w:name w:val="cat-PhoneNumber grp-31 rplc-18"/>
    <w:basedOn w:val="DefaultParagraphFont"/>
  </w:style>
  <w:style w:type="character" w:customStyle="1" w:styleId="cat-PhoneNumbergrp-32rplc-19">
    <w:name w:val="cat-PhoneNumber grp-32 rplc-19"/>
    <w:basedOn w:val="DefaultParagraphFont"/>
  </w:style>
  <w:style w:type="character" w:customStyle="1" w:styleId="cat-PhoneNumbergrp-33rplc-20">
    <w:name w:val="cat-PhoneNumber grp-33 rplc-20"/>
    <w:basedOn w:val="DefaultParagraphFont"/>
  </w:style>
  <w:style w:type="character" w:customStyle="1" w:styleId="cat-PhoneNumbergrp-27rplc-21">
    <w:name w:val="cat-PhoneNumber grp-27 rplc-21"/>
    <w:basedOn w:val="DefaultParagraphFont"/>
  </w:style>
  <w:style w:type="character" w:customStyle="1" w:styleId="cat-PhoneNumbergrp-28rplc-22">
    <w:name w:val="cat-PhoneNumber grp-28 rplc-22"/>
    <w:basedOn w:val="DefaultParagraphFont"/>
  </w:style>
  <w:style w:type="character" w:customStyle="1" w:styleId="cat-PhoneNumbergrp-29rplc-23">
    <w:name w:val="cat-PhoneNumber grp-29 rplc-23"/>
    <w:basedOn w:val="DefaultParagraphFont"/>
  </w:style>
  <w:style w:type="character" w:customStyle="1" w:styleId="cat-PhoneNumbergrp-30rplc-24">
    <w:name w:val="cat-PhoneNumber grp-30 rplc-24"/>
    <w:basedOn w:val="DefaultParagraphFont"/>
  </w:style>
  <w:style w:type="character" w:customStyle="1" w:styleId="cat-PhoneNumbergrp-31rplc-25">
    <w:name w:val="cat-PhoneNumber grp-31 rplc-25"/>
    <w:basedOn w:val="DefaultParagraphFont"/>
  </w:style>
  <w:style w:type="character" w:customStyle="1" w:styleId="cat-PhoneNumbergrp-32rplc-26">
    <w:name w:val="cat-PhoneNumber grp-32 rplc-26"/>
    <w:basedOn w:val="DefaultParagraphFont"/>
  </w:style>
  <w:style w:type="character" w:customStyle="1" w:styleId="cat-PhoneNumbergrp-33rplc-27">
    <w:name w:val="cat-PhoneNumber grp-33 rplc-27"/>
    <w:basedOn w:val="DefaultParagraphFont"/>
  </w:style>
  <w:style w:type="character" w:customStyle="1" w:styleId="cat-Addressgrp-3rplc-28">
    <w:name w:val="cat-Address grp-3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FIOgrp-20rplc-30">
    <w:name w:val="cat-FIO grp-20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Dategrp-8rplc-34">
    <w:name w:val="cat-Date grp-8 rplc-34"/>
    <w:basedOn w:val="DefaultParagraphFont"/>
  </w:style>
  <w:style w:type="character" w:customStyle="1" w:styleId="cat-OrganizationNamegrp-23rplc-35">
    <w:name w:val="cat-OrganizationName grp-23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Dategrp-8rplc-37">
    <w:name w:val="cat-Date grp-8 rplc-37"/>
    <w:basedOn w:val="DefaultParagraphFont"/>
  </w:style>
  <w:style w:type="character" w:customStyle="1" w:styleId="cat-Dategrp-8rplc-38">
    <w:name w:val="cat-Date grp-8 rplc-38"/>
    <w:basedOn w:val="DefaultParagraphFont"/>
  </w:style>
  <w:style w:type="character" w:customStyle="1" w:styleId="cat-Dategrp-13rplc-39">
    <w:name w:val="cat-Date grp-13 rplc-39"/>
    <w:basedOn w:val="DefaultParagraphFont"/>
  </w:style>
  <w:style w:type="character" w:customStyle="1" w:styleId="cat-Dategrp-13rplc-40">
    <w:name w:val="cat-Date grp-13 rplc-40"/>
    <w:basedOn w:val="DefaultParagraphFont"/>
  </w:style>
  <w:style w:type="character" w:customStyle="1" w:styleId="cat-Dategrp-13rplc-41">
    <w:name w:val="cat-Date grp-13 rplc-41"/>
    <w:basedOn w:val="DefaultParagraphFont"/>
  </w:style>
  <w:style w:type="character" w:customStyle="1" w:styleId="cat-Dategrp-14rplc-42">
    <w:name w:val="cat-Date grp-14 rplc-42"/>
    <w:basedOn w:val="DefaultParagraphFont"/>
  </w:style>
  <w:style w:type="character" w:customStyle="1" w:styleId="cat-OrganizationNamegrp-23rplc-43">
    <w:name w:val="cat-OrganizationName grp-23 rplc-43"/>
    <w:basedOn w:val="DefaultParagraphFont"/>
  </w:style>
  <w:style w:type="character" w:customStyle="1" w:styleId="cat-Addressgrp-0rplc-44">
    <w:name w:val="cat-Address grp-0 rplc-44"/>
    <w:basedOn w:val="DefaultParagraphFont"/>
  </w:style>
  <w:style w:type="character" w:customStyle="1" w:styleId="cat-Addressgrp-5rplc-45">
    <w:name w:val="cat-Address grp-5 rplc-45"/>
    <w:basedOn w:val="DefaultParagraphFont"/>
  </w:style>
  <w:style w:type="character" w:customStyle="1" w:styleId="cat-Dategrp-8rplc-46">
    <w:name w:val="cat-Date grp-8 rplc-46"/>
    <w:basedOn w:val="DefaultParagraphFont"/>
  </w:style>
  <w:style w:type="character" w:customStyle="1" w:styleId="cat-Dategrp-7rplc-47">
    <w:name w:val="cat-Date grp-7 rplc-47"/>
    <w:basedOn w:val="DefaultParagraphFont"/>
  </w:style>
  <w:style w:type="character" w:customStyle="1" w:styleId="cat-OrganizationNamegrp-23rplc-48">
    <w:name w:val="cat-OrganizationName grp-23 rplc-48"/>
    <w:basedOn w:val="DefaultParagraphFont"/>
  </w:style>
  <w:style w:type="character" w:customStyle="1" w:styleId="cat-Dategrp-15rplc-49">
    <w:name w:val="cat-Date grp-15 rplc-49"/>
    <w:basedOn w:val="DefaultParagraphFont"/>
  </w:style>
  <w:style w:type="character" w:customStyle="1" w:styleId="cat-OrganizationNamegrp-23rplc-50">
    <w:name w:val="cat-OrganizationName grp-23 rplc-50"/>
    <w:basedOn w:val="DefaultParagraphFont"/>
  </w:style>
  <w:style w:type="character" w:customStyle="1" w:styleId="cat-Dategrp-13rplc-51">
    <w:name w:val="cat-Date grp-13 rplc-51"/>
    <w:basedOn w:val="DefaultParagraphFont"/>
  </w:style>
  <w:style w:type="character" w:customStyle="1" w:styleId="cat-Dategrp-16rplc-52">
    <w:name w:val="cat-Date grp-16 rplc-52"/>
    <w:basedOn w:val="DefaultParagraphFont"/>
  </w:style>
  <w:style w:type="character" w:customStyle="1" w:styleId="cat-PhoneNumbergrp-27rplc-53">
    <w:name w:val="cat-PhoneNumber grp-27 rplc-53"/>
    <w:basedOn w:val="DefaultParagraphFont"/>
  </w:style>
  <w:style w:type="character" w:customStyle="1" w:styleId="cat-PhoneNumbergrp-28rplc-54">
    <w:name w:val="cat-PhoneNumber grp-28 rplc-54"/>
    <w:basedOn w:val="DefaultParagraphFont"/>
  </w:style>
  <w:style w:type="character" w:customStyle="1" w:styleId="cat-PhoneNumbergrp-29rplc-55">
    <w:name w:val="cat-PhoneNumber grp-29 rplc-55"/>
    <w:basedOn w:val="DefaultParagraphFont"/>
  </w:style>
  <w:style w:type="character" w:customStyle="1" w:styleId="cat-PhoneNumbergrp-30rplc-56">
    <w:name w:val="cat-PhoneNumber grp-30 rplc-56"/>
    <w:basedOn w:val="DefaultParagraphFont"/>
  </w:style>
  <w:style w:type="character" w:customStyle="1" w:styleId="cat-PhoneNumbergrp-31rplc-57">
    <w:name w:val="cat-PhoneNumber grp-31 rplc-57"/>
    <w:basedOn w:val="DefaultParagraphFont"/>
  </w:style>
  <w:style w:type="character" w:customStyle="1" w:styleId="cat-PhoneNumbergrp-32rplc-58">
    <w:name w:val="cat-PhoneNumber grp-32 rplc-58"/>
    <w:basedOn w:val="DefaultParagraphFont"/>
  </w:style>
  <w:style w:type="character" w:customStyle="1" w:styleId="cat-PhoneNumbergrp-33rplc-59">
    <w:name w:val="cat-PhoneNumber grp-33 rplc-59"/>
    <w:basedOn w:val="DefaultParagraphFont"/>
  </w:style>
  <w:style w:type="character" w:customStyle="1" w:styleId="cat-PhoneNumbergrp-27rplc-60">
    <w:name w:val="cat-PhoneNumber grp-27 rplc-60"/>
    <w:basedOn w:val="DefaultParagraphFont"/>
  </w:style>
  <w:style w:type="character" w:customStyle="1" w:styleId="cat-PhoneNumbergrp-28rplc-61">
    <w:name w:val="cat-PhoneNumber grp-28 rplc-61"/>
    <w:basedOn w:val="DefaultParagraphFont"/>
  </w:style>
  <w:style w:type="character" w:customStyle="1" w:styleId="cat-PhoneNumbergrp-29rplc-62">
    <w:name w:val="cat-PhoneNumber grp-29 rplc-62"/>
    <w:basedOn w:val="DefaultParagraphFont"/>
  </w:style>
  <w:style w:type="character" w:customStyle="1" w:styleId="cat-PhoneNumbergrp-30rplc-63">
    <w:name w:val="cat-PhoneNumber grp-30 rplc-63"/>
    <w:basedOn w:val="DefaultParagraphFont"/>
  </w:style>
  <w:style w:type="character" w:customStyle="1" w:styleId="cat-PhoneNumbergrp-31rplc-64">
    <w:name w:val="cat-PhoneNumber grp-31 rplc-64"/>
    <w:basedOn w:val="DefaultParagraphFont"/>
  </w:style>
  <w:style w:type="character" w:customStyle="1" w:styleId="cat-PhoneNumbergrp-32rplc-65">
    <w:name w:val="cat-PhoneNumber grp-32 rplc-65"/>
    <w:basedOn w:val="DefaultParagraphFont"/>
  </w:style>
  <w:style w:type="character" w:customStyle="1" w:styleId="cat-PhoneNumbergrp-33rplc-66">
    <w:name w:val="cat-PhoneNumber grp-33 rplc-66"/>
    <w:basedOn w:val="DefaultParagraphFont"/>
  </w:style>
  <w:style w:type="character" w:customStyle="1" w:styleId="cat-Addressgrp-3rplc-67">
    <w:name w:val="cat-Address grp-3 rplc-67"/>
    <w:basedOn w:val="DefaultParagraphFont"/>
  </w:style>
  <w:style w:type="character" w:customStyle="1" w:styleId="cat-Dategrp-16rplc-68">
    <w:name w:val="cat-Date grp-16 rplc-68"/>
    <w:basedOn w:val="DefaultParagraphFont"/>
  </w:style>
  <w:style w:type="character" w:customStyle="1" w:styleId="cat-Dategrp-17rplc-69">
    <w:name w:val="cat-Date grp-17 rplc-69"/>
    <w:basedOn w:val="DefaultParagraphFont"/>
  </w:style>
  <w:style w:type="character" w:customStyle="1" w:styleId="cat-OrganizationNamegrp-23rplc-70">
    <w:name w:val="cat-OrganizationName grp-23 rplc-70"/>
    <w:basedOn w:val="DefaultParagraphFont"/>
  </w:style>
  <w:style w:type="character" w:customStyle="1" w:styleId="cat-OrganizationNamegrp-24rplc-71">
    <w:name w:val="cat-OrganizationName grp-24 rplc-71"/>
    <w:basedOn w:val="DefaultParagraphFont"/>
  </w:style>
  <w:style w:type="character" w:customStyle="1" w:styleId="cat-FIOgrp-21rplc-72">
    <w:name w:val="cat-FIO grp-21 rplc-72"/>
    <w:basedOn w:val="DefaultParagraphFont"/>
  </w:style>
  <w:style w:type="character" w:customStyle="1" w:styleId="cat-FIOgrp-21rplc-73">
    <w:name w:val="cat-FIO grp-21 rplc-7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30ED1-D415-402F-9ADF-C54BA660B4F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